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08183101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1D2AF86D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5A5927">
        <w:rPr>
          <w:sz w:val="28"/>
          <w:lang w:val="uk-UA"/>
        </w:rPr>
        <w:t xml:space="preserve">двадцять перша </w:t>
      </w:r>
      <w:r>
        <w:rPr>
          <w:sz w:val="28"/>
          <w:lang w:val="uk-UA"/>
        </w:rPr>
        <w:t xml:space="preserve">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68543C99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5A5927">
        <w:rPr>
          <w:sz w:val="28"/>
          <w:u w:val="single"/>
          <w:lang w:val="uk-UA"/>
        </w:rPr>
        <w:t xml:space="preserve">23 грудня </w:t>
      </w:r>
      <w:r>
        <w:rPr>
          <w:sz w:val="28"/>
          <w:u w:val="single"/>
          <w:lang w:val="uk-UA"/>
        </w:rPr>
        <w:t>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  <w:r w:rsidR="005A5927">
        <w:rPr>
          <w:sz w:val="28"/>
          <w:u w:val="single"/>
          <w:lang w:val="uk-UA"/>
        </w:rPr>
        <w:t>562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19E37C8C" w:rsidR="006034FB" w:rsidRDefault="00496984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3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2A5A0FD" w14:textId="77777777" w:rsidR="005A5927" w:rsidRDefault="005A5927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«Малинська міська лікарня» Малинської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2C7CA98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496984">
        <w:rPr>
          <w:bCs/>
          <w:sz w:val="28"/>
          <w:szCs w:val="28"/>
          <w:lang w:val="uk-UA"/>
        </w:rPr>
        <w:t>» Малинської міської ради за 3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C74C22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A10CB5">
        <w:rPr>
          <w:sz w:val="28"/>
          <w:szCs w:val="28"/>
          <w:lang w:val="uk-UA"/>
        </w:rPr>
        <w:t xml:space="preserve">                              </w:t>
      </w:r>
      <w:r w:rsidR="00B44D9D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</w:t>
      </w:r>
      <w:bookmarkStart w:id="0" w:name="_GoBack"/>
      <w:bookmarkEnd w:id="0"/>
      <w:r>
        <w:rPr>
          <w:sz w:val="22"/>
          <w:szCs w:val="22"/>
          <w:lang w:val="uk-UA"/>
        </w:rPr>
        <w:t xml:space="preserve">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5A5927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A5927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10CB5"/>
    <w:rsid w:val="00A777A5"/>
    <w:rsid w:val="00B44D9D"/>
    <w:rsid w:val="00CE46D8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2021-12-24T08:15:00Z</cp:lastPrinted>
  <dcterms:created xsi:type="dcterms:W3CDTF">2021-11-11T13:37:00Z</dcterms:created>
  <dcterms:modified xsi:type="dcterms:W3CDTF">2021-12-24T08:16:00Z</dcterms:modified>
</cp:coreProperties>
</file>